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2" w:rsidRPr="00310E81" w:rsidRDefault="008771F2" w:rsidP="008771F2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1</w:t>
      </w:r>
    </w:p>
    <w:p w:rsidR="008771F2" w:rsidRDefault="008771F2" w:rsidP="008771F2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 w:rsidR="009A2A21">
        <w:rPr>
          <w:rFonts w:ascii="Times New Roman" w:hAnsi="Times New Roman"/>
          <w:sz w:val="22"/>
        </w:rPr>
        <w:t>Документации ЭА</w:t>
      </w:r>
    </w:p>
    <w:p w:rsidR="001251C1" w:rsidRPr="009A2A21" w:rsidRDefault="001251C1" w:rsidP="009A2A21">
      <w:pPr>
        <w:pStyle w:val="ConsNormal"/>
        <w:widowControl/>
        <w:ind w:firstLine="0"/>
        <w:jc w:val="right"/>
        <w:rPr>
          <w:b/>
        </w:rPr>
      </w:pPr>
    </w:p>
    <w:p w:rsidR="00A56A5F" w:rsidRDefault="00A56A5F" w:rsidP="009A2A21">
      <w:pPr>
        <w:widowControl w:val="0"/>
        <w:autoSpaceDE w:val="0"/>
        <w:autoSpaceDN w:val="0"/>
        <w:adjustRightInd w:val="0"/>
        <w:spacing w:before="20" w:after="20"/>
        <w:ind w:right="30"/>
        <w:rPr>
          <w:b/>
        </w:rPr>
      </w:pPr>
    </w:p>
    <w:p w:rsidR="00F476F5" w:rsidRPr="000F5F1C" w:rsidRDefault="00F476F5" w:rsidP="00F476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Требования </w:t>
      </w:r>
      <w:r w:rsidRPr="000F5F1C">
        <w:rPr>
          <w:b/>
        </w:rPr>
        <w:t xml:space="preserve">к основным материалам, применяемым для выполнения </w:t>
      </w:r>
      <w:r w:rsidR="00A223EF">
        <w:rPr>
          <w:b/>
        </w:rPr>
        <w:t>работ</w:t>
      </w:r>
      <w:r w:rsidRPr="000F5F1C">
        <w:rPr>
          <w:b/>
        </w:rPr>
        <w:t xml:space="preserve"> </w:t>
      </w:r>
    </w:p>
    <w:p w:rsidR="00F476F5" w:rsidRPr="000F5F1C" w:rsidRDefault="00F476F5" w:rsidP="00F476F5">
      <w:pPr>
        <w:autoSpaceDE w:val="0"/>
        <w:autoSpaceDN w:val="0"/>
        <w:adjustRightInd w:val="0"/>
        <w:jc w:val="center"/>
        <w:rPr>
          <w:b/>
          <w:bCs/>
        </w:rPr>
      </w:pPr>
      <w:r w:rsidRPr="000F5F1C">
        <w:rPr>
          <w:b/>
        </w:rPr>
        <w:t>«</w:t>
      </w:r>
      <w:r w:rsidRPr="000F5F1C">
        <w:rPr>
          <w:b/>
          <w:iCs/>
        </w:rPr>
        <w:t>Благоустройство (ремонт) дворовой территории по ул. 30 лет Победы, д. 8, 6, 4, 2 д. Акбашева Аргаяшского района Челябинской области</w:t>
      </w:r>
      <w:r w:rsidRPr="000F5F1C">
        <w:rPr>
          <w:b/>
        </w:rPr>
        <w:t>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7574"/>
      </w:tblGrid>
      <w:tr w:rsidR="00F476F5" w:rsidRPr="000F5F1C" w:rsidTr="0071396A">
        <w:trPr>
          <w:trHeight w:val="683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>Наименование товара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>Функциональные, технические и качественные характеристики товара</w:t>
            </w:r>
          </w:p>
        </w:tc>
      </w:tr>
      <w:tr w:rsidR="00F476F5" w:rsidRPr="000F5F1C" w:rsidTr="0071396A">
        <w:trPr>
          <w:trHeight w:val="1074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>Эмульсии битумные дорожные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 xml:space="preserve">битумные и битумно-полимерные дорожные эмульсии прямого </w:t>
            </w:r>
            <w:proofErr w:type="gramStart"/>
            <w:r w:rsidRPr="000F5F1C">
              <w:t>типа</w:t>
            </w:r>
            <w:proofErr w:type="gramEnd"/>
            <w:r w:rsidRPr="000F5F1C">
              <w:t xml:space="preserve">  применяемые в качестве вяжущего материала при строительстве и ремонте автомобильных дорог</w:t>
            </w:r>
            <w:r>
              <w:t xml:space="preserve">. Должны соответствовать </w:t>
            </w:r>
            <w:r w:rsidRPr="000F5F1C">
              <w:t xml:space="preserve">ГОСТ </w:t>
            </w:r>
            <w:proofErr w:type="gramStart"/>
            <w:r w:rsidRPr="000F5F1C">
              <w:t>Р</w:t>
            </w:r>
            <w:proofErr w:type="gramEnd"/>
            <w:r w:rsidRPr="000F5F1C">
              <w:t xml:space="preserve"> 52128-2003</w:t>
            </w:r>
          </w:p>
        </w:tc>
      </w:tr>
      <w:tr w:rsidR="00F476F5" w:rsidRPr="000F5F1C" w:rsidTr="0071396A">
        <w:trPr>
          <w:trHeight w:val="1048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 xml:space="preserve">Битумы нефтяные дорожные 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>вязкие дорожные нефтяные б</w:t>
            </w:r>
            <w:bookmarkStart w:id="0" w:name="_GoBack"/>
            <w:bookmarkEnd w:id="0"/>
            <w:r w:rsidRPr="000F5F1C">
              <w:t>итумы, предназначенные в качестве вяжущего материала при строительстве и ремонте дорожных и аэродромных покрытий</w:t>
            </w:r>
            <w:r>
              <w:t xml:space="preserve">. Должны соответствовать </w:t>
            </w:r>
            <w:r w:rsidRPr="000F5F1C">
              <w:t>ГОСТ 22245-90</w:t>
            </w:r>
          </w:p>
        </w:tc>
      </w:tr>
      <w:tr w:rsidR="00F476F5" w:rsidRPr="000F5F1C" w:rsidTr="0071396A">
        <w:trPr>
          <w:trHeight w:val="1455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 xml:space="preserve">Щебень 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 xml:space="preserve"> щебень и гравий из горных пород со средней плотностью зерен от 2,0 до 3,0 г/см3, применяемые в качестве заполнителей для тяжелого бетона, а также для дорожных и других видов строительных работ.</w:t>
            </w:r>
            <w:r>
              <w:t xml:space="preserve"> Щ</w:t>
            </w:r>
            <w:r w:rsidRPr="000F5F1C">
              <w:t>ебень фракции 5 - 10 мм по ГОСТ 8267-93</w:t>
            </w:r>
            <w:r>
              <w:t>.</w:t>
            </w:r>
          </w:p>
        </w:tc>
      </w:tr>
      <w:tr w:rsidR="00F476F5" w:rsidRPr="000F5F1C" w:rsidTr="0071396A">
        <w:trPr>
          <w:trHeight w:val="1214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>Песок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 xml:space="preserve">пески с истинной плотностью зерен от 2,0 до 2,8 г/см  и смеси природных песков и песков из отсевов дробления, предназначенные для применения для устройства оснований и </w:t>
            </w:r>
            <w:proofErr w:type="gramStart"/>
            <w:r w:rsidRPr="000F5F1C">
              <w:t>покрытий</w:t>
            </w:r>
            <w:proofErr w:type="gramEnd"/>
            <w:r w:rsidRPr="000F5F1C">
              <w:t xml:space="preserve"> автомобильных дорог</w:t>
            </w:r>
            <w:r>
              <w:t xml:space="preserve">. Должен соответствовать </w:t>
            </w:r>
            <w:r w:rsidRPr="000F5F1C">
              <w:t>ГОСТ 8736-2014</w:t>
            </w:r>
          </w:p>
        </w:tc>
      </w:tr>
      <w:tr w:rsidR="00F476F5" w:rsidRPr="000F5F1C" w:rsidTr="0071396A">
        <w:trPr>
          <w:trHeight w:val="715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 xml:space="preserve">Смесь асфальтобетонная 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 xml:space="preserve">асфальтобетонные смеси и асфальтобетон, применяемые для устройства покрытий и </w:t>
            </w:r>
            <w:proofErr w:type="gramStart"/>
            <w:r w:rsidRPr="000F5F1C">
              <w:t>оснований</w:t>
            </w:r>
            <w:proofErr w:type="gramEnd"/>
            <w:r w:rsidRPr="000F5F1C">
              <w:t xml:space="preserve"> автомобильных дорог</w:t>
            </w:r>
            <w:r>
              <w:t xml:space="preserve">. Должна соответствовать </w:t>
            </w:r>
            <w:r w:rsidRPr="000F5F1C">
              <w:t>ГОСТ 9128-2009</w:t>
            </w:r>
          </w:p>
        </w:tc>
      </w:tr>
      <w:tr w:rsidR="00F476F5" w:rsidRPr="000F5F1C" w:rsidTr="0071396A">
        <w:trPr>
          <w:trHeight w:val="715"/>
        </w:trPr>
        <w:tc>
          <w:tcPr>
            <w:tcW w:w="2080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center"/>
            </w:pPr>
            <w:r w:rsidRPr="000F5F1C">
              <w:t xml:space="preserve">Люки с решеткой для </w:t>
            </w:r>
            <w:proofErr w:type="spellStart"/>
            <w:r w:rsidRPr="000F5F1C">
              <w:t>дождепреёмного</w:t>
            </w:r>
            <w:proofErr w:type="spellEnd"/>
            <w:r w:rsidRPr="000F5F1C">
              <w:t xml:space="preserve"> колодца.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476F5" w:rsidRPr="000F5F1C" w:rsidRDefault="00F476F5" w:rsidP="0071396A">
            <w:pPr>
              <w:jc w:val="both"/>
            </w:pPr>
            <w:r w:rsidRPr="000F5F1C">
              <w:t>Материал сталь чугунная,</w:t>
            </w:r>
            <w:r>
              <w:t xml:space="preserve"> </w:t>
            </w:r>
            <w:r w:rsidRPr="000F5F1C">
              <w:t>высота не менее 120мм, диаметр корпуса не менее 840мм, диаметр лаза не менее 600мм, масса решетки не менее 56,5кг, предельная испытате</w:t>
            </w:r>
            <w:r>
              <w:t xml:space="preserve">льная нагрузка не менее 12,5тс. Должны соответствовать </w:t>
            </w:r>
            <w:r w:rsidRPr="000F5F1C">
              <w:t>ГОСТ 26008-83</w:t>
            </w:r>
          </w:p>
        </w:tc>
      </w:tr>
    </w:tbl>
    <w:p w:rsidR="00F476F5" w:rsidRDefault="00F476F5" w:rsidP="00F476F5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b/>
        </w:rPr>
      </w:pPr>
    </w:p>
    <w:p w:rsidR="00A56A5F" w:rsidRDefault="00A56A5F" w:rsidP="00A56A5F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b/>
        </w:rPr>
      </w:pPr>
    </w:p>
    <w:p w:rsidR="00A56A5F" w:rsidRDefault="00A56A5F" w:rsidP="00A56A5F">
      <w:pPr>
        <w:widowControl w:val="0"/>
        <w:autoSpaceDE w:val="0"/>
        <w:autoSpaceDN w:val="0"/>
        <w:adjustRightInd w:val="0"/>
        <w:spacing w:before="20" w:after="20"/>
        <w:ind w:right="30"/>
        <w:jc w:val="right"/>
        <w:rPr>
          <w:b/>
        </w:rPr>
      </w:pPr>
    </w:p>
    <w:p w:rsidR="00A56A5F" w:rsidRDefault="00A56A5F" w:rsidP="00A56A5F">
      <w:pPr>
        <w:widowControl w:val="0"/>
        <w:autoSpaceDE w:val="0"/>
        <w:autoSpaceDN w:val="0"/>
        <w:adjustRightInd w:val="0"/>
        <w:spacing w:before="20" w:after="20"/>
        <w:ind w:right="30"/>
        <w:jc w:val="right"/>
        <w:rPr>
          <w:b/>
        </w:rPr>
      </w:pPr>
    </w:p>
    <w:p w:rsidR="00A56A5F" w:rsidRDefault="00A56A5F" w:rsidP="00A56A5F">
      <w:pPr>
        <w:widowControl w:val="0"/>
        <w:autoSpaceDE w:val="0"/>
        <w:autoSpaceDN w:val="0"/>
        <w:adjustRightInd w:val="0"/>
        <w:spacing w:before="20" w:after="20"/>
        <w:ind w:right="30"/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9400" w:type="dxa"/>
        <w:tblLayout w:type="fixed"/>
        <w:tblLook w:val="0000" w:firstRow="0" w:lastRow="0" w:firstColumn="0" w:lastColumn="0" w:noHBand="0" w:noVBand="0"/>
      </w:tblPr>
      <w:tblGrid>
        <w:gridCol w:w="4348"/>
        <w:gridCol w:w="772"/>
        <w:gridCol w:w="4280"/>
      </w:tblGrid>
      <w:tr w:rsidR="00A56A5F" w:rsidRPr="00EF3878" w:rsidTr="004F525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56A5F" w:rsidRPr="00EF3878" w:rsidRDefault="00A56A5F" w:rsidP="004F525C">
            <w:pPr>
              <w:jc w:val="center"/>
            </w:pPr>
            <w:r w:rsidRPr="00EF3878">
              <w:rPr>
                <w:sz w:val="22"/>
                <w:szCs w:val="22"/>
              </w:rPr>
              <w:t>Заказчик</w:t>
            </w:r>
          </w:p>
          <w:p w:rsidR="00A56A5F" w:rsidRPr="00EF3878" w:rsidRDefault="00A56A5F" w:rsidP="004F525C">
            <w:pPr>
              <w:jc w:val="center"/>
            </w:pPr>
            <w:r w:rsidRPr="00EF3878">
              <w:rPr>
                <w:rStyle w:val="FontStyle57"/>
                <w:b/>
                <w:sz w:val="22"/>
                <w:szCs w:val="22"/>
              </w:rPr>
              <w:t xml:space="preserve">Администрация </w:t>
            </w:r>
            <w:r w:rsidR="009A356D">
              <w:rPr>
                <w:rStyle w:val="FontStyle57"/>
                <w:b/>
                <w:sz w:val="22"/>
                <w:szCs w:val="22"/>
              </w:rPr>
              <w:t>Акбашевского</w:t>
            </w:r>
            <w:r w:rsidRPr="00EF3878">
              <w:rPr>
                <w:rStyle w:val="FontStyle57"/>
                <w:b/>
                <w:sz w:val="22"/>
                <w:szCs w:val="22"/>
              </w:rPr>
              <w:t xml:space="preserve"> сельского поселения</w:t>
            </w:r>
          </w:p>
          <w:p w:rsidR="00A56A5F" w:rsidRPr="00EF3878" w:rsidRDefault="00A56A5F" w:rsidP="004F525C"/>
          <w:p w:rsidR="00A56A5F" w:rsidRPr="00EF3878" w:rsidRDefault="00A56A5F" w:rsidP="004F525C">
            <w:r w:rsidRPr="00EF3878">
              <w:rPr>
                <w:sz w:val="22"/>
                <w:szCs w:val="22"/>
              </w:rPr>
              <w:t xml:space="preserve">Глава </w:t>
            </w:r>
          </w:p>
          <w:p w:rsidR="00A56A5F" w:rsidRPr="00EF3878" w:rsidRDefault="00A56A5F" w:rsidP="004F525C">
            <w:r w:rsidRPr="00EF3878">
              <w:rPr>
                <w:sz w:val="22"/>
                <w:szCs w:val="22"/>
              </w:rPr>
              <w:t xml:space="preserve">__________________ </w:t>
            </w:r>
            <w:r w:rsidR="009A356D">
              <w:rPr>
                <w:sz w:val="22"/>
                <w:szCs w:val="22"/>
              </w:rPr>
              <w:t xml:space="preserve">С. С. </w:t>
            </w:r>
            <w:proofErr w:type="spellStart"/>
            <w:r w:rsidR="009A356D">
              <w:rPr>
                <w:sz w:val="22"/>
                <w:szCs w:val="22"/>
              </w:rPr>
              <w:t>Валиахметов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56A5F" w:rsidRPr="00EF3878" w:rsidRDefault="00A56A5F" w:rsidP="004F525C"/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56A5F" w:rsidRPr="00EF3878" w:rsidRDefault="00A56A5F" w:rsidP="004F525C">
            <w:pPr>
              <w:pBdr>
                <w:bottom w:val="single" w:sz="12" w:space="1" w:color="auto"/>
              </w:pBdr>
              <w:jc w:val="center"/>
            </w:pPr>
            <w:r w:rsidRPr="00EF3878">
              <w:rPr>
                <w:sz w:val="22"/>
                <w:szCs w:val="22"/>
              </w:rPr>
              <w:t>Подрядчик</w:t>
            </w:r>
          </w:p>
          <w:p w:rsidR="00A56A5F" w:rsidRPr="00EF3878" w:rsidRDefault="00A56A5F" w:rsidP="004F525C">
            <w:pPr>
              <w:pBdr>
                <w:bottom w:val="single" w:sz="12" w:space="1" w:color="auto"/>
              </w:pBdr>
              <w:jc w:val="center"/>
            </w:pPr>
          </w:p>
          <w:p w:rsidR="00A56A5F" w:rsidRPr="00EF3878" w:rsidRDefault="00A56A5F" w:rsidP="004F525C"/>
          <w:p w:rsidR="00A56A5F" w:rsidRDefault="00A56A5F" w:rsidP="004F525C"/>
          <w:p w:rsidR="00A56A5F" w:rsidRPr="00EF3878" w:rsidRDefault="00A56A5F" w:rsidP="004F525C">
            <w:r w:rsidRPr="00EF3878">
              <w:rPr>
                <w:sz w:val="22"/>
                <w:szCs w:val="22"/>
              </w:rPr>
              <w:t>Руководитель</w:t>
            </w:r>
          </w:p>
          <w:p w:rsidR="00A56A5F" w:rsidRPr="00EF3878" w:rsidRDefault="00A56A5F" w:rsidP="004F525C">
            <w:pPr>
              <w:jc w:val="center"/>
            </w:pPr>
          </w:p>
          <w:p w:rsidR="00A56A5F" w:rsidRPr="00EF3878" w:rsidRDefault="00A56A5F" w:rsidP="004F525C">
            <w:r w:rsidRPr="00EF3878">
              <w:rPr>
                <w:sz w:val="22"/>
                <w:szCs w:val="22"/>
              </w:rPr>
              <w:t xml:space="preserve">__________________ </w:t>
            </w:r>
            <w:r w:rsidRPr="00EF3878">
              <w:rPr>
                <w:rStyle w:val="FontStyle16"/>
              </w:rPr>
              <w:t xml:space="preserve"> /________________/</w:t>
            </w:r>
          </w:p>
        </w:tc>
      </w:tr>
    </w:tbl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A56A5F">
      <w:pPr>
        <w:autoSpaceDE w:val="0"/>
        <w:autoSpaceDN w:val="0"/>
        <w:adjustRightInd w:val="0"/>
        <w:jc w:val="center"/>
        <w:rPr>
          <w:b/>
          <w:noProof/>
        </w:rPr>
      </w:pPr>
    </w:p>
    <w:p w:rsidR="004F525C" w:rsidRDefault="004F525C" w:rsidP="004F525C">
      <w:pPr>
        <w:autoSpaceDE w:val="0"/>
        <w:autoSpaceDN w:val="0"/>
        <w:adjustRightInd w:val="0"/>
        <w:jc w:val="center"/>
        <w:rPr>
          <w:b/>
          <w:noProof/>
        </w:rPr>
      </w:pPr>
    </w:p>
    <w:p w:rsidR="007F2FFD" w:rsidRDefault="007F2FFD"/>
    <w:sectPr w:rsidR="007F2FFD" w:rsidSect="007072E3">
      <w:footerReference w:type="default" r:id="rId8"/>
      <w:pgSz w:w="11906" w:h="16838"/>
      <w:pgMar w:top="227" w:right="567" w:bottom="284" w:left="567" w:header="1134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9" w:rsidRDefault="004C3DE9">
      <w:r>
        <w:separator/>
      </w:r>
    </w:p>
  </w:endnote>
  <w:endnote w:type="continuationSeparator" w:id="0">
    <w:p w:rsidR="004C3DE9" w:rsidRDefault="004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AF" w:rsidRDefault="00A223EF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9" w:rsidRDefault="004C3DE9">
      <w:r>
        <w:separator/>
      </w:r>
    </w:p>
  </w:footnote>
  <w:footnote w:type="continuationSeparator" w:id="0">
    <w:p w:rsidR="004C3DE9" w:rsidRDefault="004C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412107"/>
    <w:multiLevelType w:val="hybridMultilevel"/>
    <w:tmpl w:val="08702C0A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5F"/>
    <w:rsid w:val="00084132"/>
    <w:rsid w:val="000C7C83"/>
    <w:rsid w:val="0011790E"/>
    <w:rsid w:val="001251C1"/>
    <w:rsid w:val="001C28C7"/>
    <w:rsid w:val="001C2B15"/>
    <w:rsid w:val="00220314"/>
    <w:rsid w:val="00285DB1"/>
    <w:rsid w:val="00407E8B"/>
    <w:rsid w:val="004C3DE9"/>
    <w:rsid w:val="004F21F8"/>
    <w:rsid w:val="004F525C"/>
    <w:rsid w:val="00570179"/>
    <w:rsid w:val="006221A9"/>
    <w:rsid w:val="006A5BA1"/>
    <w:rsid w:val="007072E3"/>
    <w:rsid w:val="0078321F"/>
    <w:rsid w:val="007C2089"/>
    <w:rsid w:val="007F2FFD"/>
    <w:rsid w:val="00826A39"/>
    <w:rsid w:val="008771F2"/>
    <w:rsid w:val="009512DD"/>
    <w:rsid w:val="00982199"/>
    <w:rsid w:val="009A2A21"/>
    <w:rsid w:val="009A356D"/>
    <w:rsid w:val="00A04FFD"/>
    <w:rsid w:val="00A223EF"/>
    <w:rsid w:val="00A334E7"/>
    <w:rsid w:val="00A56A5F"/>
    <w:rsid w:val="00A80547"/>
    <w:rsid w:val="00B219F2"/>
    <w:rsid w:val="00B602B0"/>
    <w:rsid w:val="00C03B72"/>
    <w:rsid w:val="00CD5DAB"/>
    <w:rsid w:val="00CE6F6D"/>
    <w:rsid w:val="00DE055F"/>
    <w:rsid w:val="00F476F5"/>
    <w:rsid w:val="00F51694"/>
    <w:rsid w:val="00FA6FDA"/>
    <w:rsid w:val="00FF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6A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6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6A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A56A5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A56A5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7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7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7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6A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6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6A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A56A5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A56A5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7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7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7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комитет</cp:lastModifiedBy>
  <cp:revision>8</cp:revision>
  <cp:lastPrinted>2018-08-06T05:43:00Z</cp:lastPrinted>
  <dcterms:created xsi:type="dcterms:W3CDTF">2018-07-27T02:38:00Z</dcterms:created>
  <dcterms:modified xsi:type="dcterms:W3CDTF">2018-08-06T05:43:00Z</dcterms:modified>
</cp:coreProperties>
</file>